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Åmåls digitala mognad är låg jämfört med andra kommuner. Effektivare service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minst 70 procent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invånarna erbjuds digitalt stöd via bibliotek och medborgarkontor.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årligen.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2026-06-06T01:48:34.141Z</dcterms:created>
  <dcterms:modified xsi:type="dcterms:W3CDTF">2026-06-06T01:48:34.141Z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